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D8FA1" w14:textId="10AF93B7" w:rsidR="00537C4C" w:rsidRDefault="00BA0C75" w:rsidP="00537C4C">
      <w:pPr>
        <w:spacing w:before="840"/>
        <w:rPr>
          <w:szCs w:val="24"/>
        </w:rPr>
      </w:pPr>
      <w:bookmarkStart w:id="0" w:name="_GoBack"/>
      <w:bookmarkEnd w:id="0"/>
      <w:proofErr w:type="spellStart"/>
      <w:r>
        <w:rPr>
          <w:szCs w:val="24"/>
          <w:lang w:val="en-US"/>
        </w:rPr>
        <w:t>Důvodová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zpráva</w:t>
      </w:r>
      <w:proofErr w:type="spellEnd"/>
      <w:r w:rsidR="00F94704">
        <w:rPr>
          <w:szCs w:val="24"/>
          <w:lang w:val="en-US"/>
        </w:rPr>
        <w:t xml:space="preserve">: </w:t>
      </w:r>
    </w:p>
    <w:p w14:paraId="22DC1005" w14:textId="77777777" w:rsidR="00537C4C" w:rsidRDefault="00537C4C" w:rsidP="00537C4C">
      <w:pPr>
        <w:ind w:left="1134"/>
        <w:rPr>
          <w:szCs w:val="24"/>
        </w:rPr>
      </w:pPr>
    </w:p>
    <w:p w14:paraId="6F5F654F" w14:textId="19A858B7" w:rsidR="00BA0C75" w:rsidRDefault="00BA0C75" w:rsidP="00BA0C7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Městský úřad Uničov, odbor výstavby a úřad územního plánování (dále pořizovatel), jako úřad územního plánování příslušný podle § 6 zákona č. 183/2006 Sb., o územním plánování a stavebním řádu (stavební zákon), ve znění pozdějších předpisů (dále stavební zákon), na základě zadání územního plánu pořídil v souladu s § 50 odst. 1 stavebního zákona zpracování návrhu územního plánu </w:t>
      </w:r>
      <w:r w:rsidR="00F94704">
        <w:rPr>
          <w:rFonts w:ascii="Times New Roman" w:hAnsi="Times New Roman" w:cs="Times New Roman"/>
        </w:rPr>
        <w:t>obce Lipinka</w:t>
      </w:r>
      <w:r>
        <w:rPr>
          <w:rFonts w:ascii="Times New Roman" w:hAnsi="Times New Roman" w:cs="Times New Roman"/>
        </w:rPr>
        <w:t xml:space="preserve"> a projednal ho s dotčenými orgány, krajským úřadem a příslušnými obcemi. Pořizovatel návrh územního plánu veřejně projednal a ve spolupráci s určeným zastupitelem vyhodnotil výsledky projednání a zpracoval návrh rozhodnutí o námitkách podle § 53 odst. 1 stavebního zákona, který je součástí odůvodnění. </w:t>
      </w:r>
    </w:p>
    <w:p w14:paraId="39BE6B34" w14:textId="77777777" w:rsidR="00BA0C75" w:rsidRDefault="00BA0C75" w:rsidP="00BA0C7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Pořizovatel přezkoumal návrh územního plánu a shledal, že je v souladu s § 53 odst. 4 stavebního zákona a Přílohou č. 7 vyhlášky č. 500/2006 Sb., o územně analytických podkladech, územně plánovací dokumentaci a způsobu evidence územně plánovací činnosti, ve znění pozdějších předpisů.</w:t>
      </w:r>
    </w:p>
    <w:p w14:paraId="59238C1F" w14:textId="77777777" w:rsidR="00BA0C75" w:rsidRDefault="00BA0C75" w:rsidP="00BA0C7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14:paraId="43C3601F" w14:textId="5D54AA6B" w:rsidR="00BA0C75" w:rsidRDefault="00BA0C75" w:rsidP="00BA0C7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Pořizovatel v souladu s ustanovením § 54 stavebního zákona předkládá návrh Územního plánu </w:t>
      </w:r>
      <w:r w:rsidR="00F94704">
        <w:rPr>
          <w:rFonts w:ascii="Times New Roman" w:hAnsi="Times New Roman" w:cs="Times New Roman"/>
        </w:rPr>
        <w:t>obce Lipinka</w:t>
      </w:r>
      <w:r>
        <w:rPr>
          <w:rFonts w:ascii="Times New Roman" w:hAnsi="Times New Roman" w:cs="Times New Roman"/>
        </w:rPr>
        <w:t xml:space="preserve"> zastupitelstvu </w:t>
      </w:r>
      <w:r w:rsidR="00F94704">
        <w:rPr>
          <w:rFonts w:ascii="Times New Roman" w:hAnsi="Times New Roman" w:cs="Times New Roman"/>
        </w:rPr>
        <w:t>obce Lipinka</w:t>
      </w:r>
      <w:r>
        <w:rPr>
          <w:rFonts w:ascii="Times New Roman" w:hAnsi="Times New Roman" w:cs="Times New Roman"/>
        </w:rPr>
        <w:t xml:space="preserve"> k jeho vydání formou opatření obecné povahy. </w:t>
      </w:r>
    </w:p>
    <w:p w14:paraId="394B5D74" w14:textId="77777777" w:rsidR="00BA0C75" w:rsidRDefault="00BA0C75" w:rsidP="00BA0C7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14:paraId="1B4CFCF7" w14:textId="3EC57EA0" w:rsidR="00BA0C75" w:rsidRDefault="00BA0C75" w:rsidP="00BA0C7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Zastupitelstvo </w:t>
      </w:r>
      <w:r w:rsidR="00F94704">
        <w:rPr>
          <w:rFonts w:ascii="Times New Roman" w:hAnsi="Times New Roman" w:cs="Times New Roman"/>
        </w:rPr>
        <w:t>obce</w:t>
      </w:r>
      <w:r>
        <w:rPr>
          <w:rFonts w:ascii="Times New Roman" w:hAnsi="Times New Roman" w:cs="Times New Roman"/>
        </w:rPr>
        <w:t xml:space="preserve"> vydá územní plán po ověření, že není v rozporu s politikou územního rozvoje, s územně plánovací dokumentací vydanou krajem nebo s výsledkem řešení rozporů a se stanovisky dotčených orgánů nebo stanoviskem krajského úřadu. V případě, že zastupitelstvo obce nesouhlasí s předloženým návrhem územního plánu nebo s výsledky jeho projednání, vrátí předložený návrh pořizovateli se svými pokyny k úpravě a novému projednání nebo jej zamítne.</w:t>
      </w:r>
    </w:p>
    <w:p w14:paraId="739150B1" w14:textId="77777777" w:rsidR="00BA0C75" w:rsidRDefault="00BA0C75" w:rsidP="00BA0C7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14:paraId="088DE6F6" w14:textId="77777777" w:rsidR="00D42EA6" w:rsidRDefault="00D42EA6" w:rsidP="00D42EA6">
      <w:pPr>
        <w:ind w:left="1134"/>
        <w:rPr>
          <w:szCs w:val="24"/>
        </w:rPr>
      </w:pPr>
    </w:p>
    <w:p w14:paraId="39FF72F6" w14:textId="77777777" w:rsidR="00D42EA6" w:rsidRPr="00D42EA6" w:rsidRDefault="00D42EA6" w:rsidP="00D42EA6">
      <w:pPr>
        <w:tabs>
          <w:tab w:val="left" w:pos="4536"/>
        </w:tabs>
        <w:rPr>
          <w:szCs w:val="24"/>
          <w:lang w:val="en-US"/>
        </w:rPr>
      </w:pPr>
    </w:p>
    <w:p w14:paraId="17EA27BA" w14:textId="77777777" w:rsidR="00537C4C" w:rsidRDefault="00537C4C" w:rsidP="00537C4C">
      <w:pPr>
        <w:pStyle w:val="Nadpis3"/>
        <w:ind w:left="0"/>
        <w:rPr>
          <w:szCs w:val="24"/>
        </w:rPr>
      </w:pPr>
      <w:r>
        <w:rPr>
          <w:szCs w:val="24"/>
        </w:rPr>
        <w:t>Usnesení:</w:t>
      </w:r>
    </w:p>
    <w:p w14:paraId="0D02D4AE" w14:textId="77777777" w:rsidR="00537C4C" w:rsidRDefault="00537C4C" w:rsidP="00537C4C"/>
    <w:p w14:paraId="40A5BCFA" w14:textId="66DD5069" w:rsidR="00537C4C" w:rsidRDefault="00BA0C75" w:rsidP="00537C4C">
      <w:r>
        <w:rPr>
          <w:szCs w:val="24"/>
        </w:rPr>
        <w:t xml:space="preserve">Zastupitelstvo </w:t>
      </w:r>
      <w:r w:rsidR="00F94704">
        <w:rPr>
          <w:szCs w:val="24"/>
        </w:rPr>
        <w:t>obce Lipink</w:t>
      </w:r>
      <w:r w:rsidR="00100CFA">
        <w:rPr>
          <w:szCs w:val="24"/>
        </w:rPr>
        <w:t>a</w:t>
      </w:r>
    </w:p>
    <w:p w14:paraId="314F8B47" w14:textId="77777777" w:rsidR="00537C4C" w:rsidRDefault="00537C4C" w:rsidP="00537C4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327"/>
      </w:tblGrid>
      <w:tr w:rsidR="00537C4C" w14:paraId="0D41A3DD" w14:textId="77777777" w:rsidTr="00537C4C">
        <w:tc>
          <w:tcPr>
            <w:tcW w:w="959" w:type="dxa"/>
          </w:tcPr>
          <w:p w14:paraId="539EEF12" w14:textId="77777777" w:rsidR="00537C4C" w:rsidRDefault="00BA0C75">
            <w:pPr>
              <w:spacing w:after="240"/>
            </w:pPr>
            <w:r>
              <w:t>1.</w:t>
            </w:r>
          </w:p>
        </w:tc>
        <w:tc>
          <w:tcPr>
            <w:tcW w:w="8327" w:type="dxa"/>
          </w:tcPr>
          <w:p w14:paraId="13465BEF" w14:textId="77777777" w:rsidR="00537C4C" w:rsidRDefault="00BA0C75">
            <w:pPr>
              <w:spacing w:after="240"/>
              <w:rPr>
                <w:spacing w:val="60"/>
              </w:rPr>
            </w:pPr>
            <w:r>
              <w:rPr>
                <w:spacing w:val="60"/>
              </w:rPr>
              <w:t>bere na vědomí</w:t>
            </w:r>
          </w:p>
        </w:tc>
      </w:tr>
      <w:tr w:rsidR="00537C4C" w14:paraId="30E180EB" w14:textId="77777777" w:rsidTr="00537C4C">
        <w:tc>
          <w:tcPr>
            <w:tcW w:w="959" w:type="dxa"/>
          </w:tcPr>
          <w:p w14:paraId="2A380611" w14:textId="77777777" w:rsidR="00537C4C" w:rsidRDefault="00537C4C"/>
        </w:tc>
        <w:tc>
          <w:tcPr>
            <w:tcW w:w="8327" w:type="dxa"/>
          </w:tcPr>
          <w:p w14:paraId="424D772B" w14:textId="77777777" w:rsidR="00537C4C" w:rsidRPr="00BA0C75" w:rsidRDefault="00BA0C75" w:rsidP="00BA0C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důvodovou zprávu v předloženém znění.</w:t>
            </w:r>
          </w:p>
        </w:tc>
      </w:tr>
    </w:tbl>
    <w:p w14:paraId="561B781C" w14:textId="77777777" w:rsidR="006645DB" w:rsidRDefault="006645DB" w:rsidP="00B7359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327"/>
      </w:tblGrid>
      <w:tr w:rsidR="00BA0C75" w14:paraId="74CE4DE0" w14:textId="77777777" w:rsidTr="00585A4F">
        <w:tc>
          <w:tcPr>
            <w:tcW w:w="959" w:type="dxa"/>
          </w:tcPr>
          <w:p w14:paraId="76DBA19C" w14:textId="77777777" w:rsidR="00BA0C75" w:rsidRDefault="00BA0C75" w:rsidP="00585A4F">
            <w:pPr>
              <w:spacing w:after="240"/>
            </w:pPr>
            <w:r>
              <w:t>2.</w:t>
            </w:r>
          </w:p>
        </w:tc>
        <w:tc>
          <w:tcPr>
            <w:tcW w:w="8327" w:type="dxa"/>
          </w:tcPr>
          <w:p w14:paraId="62D3DCE6" w14:textId="77777777" w:rsidR="00BA0C75" w:rsidRDefault="00BA0C75" w:rsidP="00585A4F">
            <w:pPr>
              <w:spacing w:after="240"/>
              <w:rPr>
                <w:spacing w:val="60"/>
              </w:rPr>
            </w:pPr>
            <w:r>
              <w:rPr>
                <w:spacing w:val="60"/>
              </w:rPr>
              <w:t>ověřuje</w:t>
            </w:r>
          </w:p>
        </w:tc>
      </w:tr>
      <w:tr w:rsidR="00BA0C75" w14:paraId="5A68E7D3" w14:textId="77777777" w:rsidTr="00585A4F">
        <w:tc>
          <w:tcPr>
            <w:tcW w:w="959" w:type="dxa"/>
          </w:tcPr>
          <w:p w14:paraId="298E80EA" w14:textId="77777777" w:rsidR="00BA0C75" w:rsidRDefault="00BA0C75" w:rsidP="00585A4F"/>
        </w:tc>
        <w:tc>
          <w:tcPr>
            <w:tcW w:w="8327" w:type="dxa"/>
          </w:tcPr>
          <w:p w14:paraId="5AF45245" w14:textId="3D101B54" w:rsidR="00BA0C75" w:rsidRDefault="00BA0C75" w:rsidP="00BA0C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tímto, že ÚZEMNÍ PLÁN </w:t>
            </w:r>
            <w:r w:rsidR="00F94704">
              <w:rPr>
                <w:rFonts w:ascii="Times New Roman" w:hAnsi="Times New Roman" w:cs="Times New Roman"/>
              </w:rPr>
              <w:t>LIPINKA</w:t>
            </w:r>
            <w:r>
              <w:rPr>
                <w:rFonts w:ascii="Times New Roman" w:hAnsi="Times New Roman" w:cs="Times New Roman"/>
              </w:rPr>
              <w:t xml:space="preserve"> není v rozporu: </w:t>
            </w:r>
          </w:p>
          <w:p w14:paraId="6A0502EC" w14:textId="39110AFE" w:rsidR="00BA0C75" w:rsidRDefault="00BA0C75" w:rsidP="00BA0C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s Politikou územního rozvoje České republiky ve znění </w:t>
            </w:r>
            <w:r w:rsidR="00F94704">
              <w:rPr>
                <w:rFonts w:ascii="Times New Roman" w:hAnsi="Times New Roman" w:cs="Times New Roman"/>
              </w:rPr>
              <w:t>pozdějších a</w:t>
            </w:r>
            <w:r>
              <w:rPr>
                <w:rFonts w:ascii="Times New Roman" w:hAnsi="Times New Roman" w:cs="Times New Roman"/>
              </w:rPr>
              <w:t>ktualizac</w:t>
            </w:r>
            <w:r w:rsidR="00F94704">
              <w:rPr>
                <w:rFonts w:ascii="Times New Roman" w:hAnsi="Times New Roman" w:cs="Times New Roman"/>
              </w:rPr>
              <w:t>í</w:t>
            </w:r>
          </w:p>
          <w:p w14:paraId="5D4DFA1D" w14:textId="77777777" w:rsidR="00BA0C75" w:rsidRDefault="00BA0C75" w:rsidP="00BA0C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se Zásadami územního rozvoje Olomouckého kraje ve znění pozdějších aktualizací;</w:t>
            </w:r>
          </w:p>
          <w:p w14:paraId="13811756" w14:textId="77777777" w:rsidR="00BA0C75" w:rsidRPr="00BA0C75" w:rsidRDefault="00BA0C75" w:rsidP="00BA0C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se stanovisky dotčených orgánů a se stanoviskem Krajského úřadu Olomouckého kraje.</w:t>
            </w:r>
          </w:p>
        </w:tc>
      </w:tr>
    </w:tbl>
    <w:p w14:paraId="05928297" w14:textId="77777777" w:rsidR="00BA0C75" w:rsidRDefault="00BA0C75" w:rsidP="00B7359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327"/>
      </w:tblGrid>
      <w:tr w:rsidR="00BA0C75" w14:paraId="1153A136" w14:textId="77777777" w:rsidTr="00585A4F">
        <w:tc>
          <w:tcPr>
            <w:tcW w:w="959" w:type="dxa"/>
          </w:tcPr>
          <w:p w14:paraId="60A894C6" w14:textId="77777777" w:rsidR="00BA0C75" w:rsidRDefault="00BA0C75" w:rsidP="00585A4F">
            <w:pPr>
              <w:spacing w:after="240"/>
            </w:pPr>
            <w:r>
              <w:t>3.</w:t>
            </w:r>
          </w:p>
        </w:tc>
        <w:tc>
          <w:tcPr>
            <w:tcW w:w="8327" w:type="dxa"/>
          </w:tcPr>
          <w:p w14:paraId="3E60596E" w14:textId="77777777" w:rsidR="00BA0C75" w:rsidRDefault="00BA0C75" w:rsidP="00585A4F">
            <w:pPr>
              <w:spacing w:after="240"/>
              <w:rPr>
                <w:spacing w:val="60"/>
              </w:rPr>
            </w:pPr>
            <w:r>
              <w:rPr>
                <w:spacing w:val="60"/>
              </w:rPr>
              <w:t>vydává</w:t>
            </w:r>
          </w:p>
        </w:tc>
      </w:tr>
      <w:tr w:rsidR="00BA0C75" w14:paraId="470E9FA6" w14:textId="77777777" w:rsidTr="00585A4F">
        <w:tc>
          <w:tcPr>
            <w:tcW w:w="959" w:type="dxa"/>
          </w:tcPr>
          <w:p w14:paraId="505C5CB3" w14:textId="77777777" w:rsidR="00BA0C75" w:rsidRDefault="00BA0C75" w:rsidP="00585A4F"/>
        </w:tc>
        <w:tc>
          <w:tcPr>
            <w:tcW w:w="8327" w:type="dxa"/>
          </w:tcPr>
          <w:p w14:paraId="025D0ED4" w14:textId="161AC055" w:rsidR="00BA0C75" w:rsidRPr="00BA0C75" w:rsidRDefault="00BA0C75" w:rsidP="00BA0C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jako příslušný správní orgán dle </w:t>
            </w:r>
            <w:proofErr w:type="spellStart"/>
            <w:r>
              <w:rPr>
                <w:rFonts w:ascii="Times New Roman" w:hAnsi="Times New Roman" w:cs="Times New Roman"/>
              </w:rPr>
              <w:t>ust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§ 6 odst. 5 písm. c) zákona č. 183/2006 Sb., o územním plánu a stavebním řádu (stavební zákon), ve znění pozdějších předpisů (dále stavební zákon), </w:t>
            </w:r>
            <w:r w:rsidR="00F94704">
              <w:rPr>
                <w:rFonts w:ascii="Times New Roman" w:hAnsi="Times New Roman" w:cs="Times New Roman"/>
              </w:rPr>
              <w:t xml:space="preserve">ve spojení s § 334a zákona č. 283/2021 Sb., stavební zákon, </w:t>
            </w:r>
            <w:r w:rsidR="00F94704">
              <w:rPr>
                <w:rFonts w:ascii="Times New Roman" w:hAnsi="Times New Roman" w:cs="Times New Roman"/>
              </w:rPr>
              <w:lastRenderedPageBreak/>
              <w:t xml:space="preserve">ve znění pozdějších předpisů, </w:t>
            </w:r>
            <w:r>
              <w:rPr>
                <w:rFonts w:ascii="Times New Roman" w:hAnsi="Times New Roman" w:cs="Times New Roman"/>
              </w:rPr>
              <w:t xml:space="preserve">v souladu s </w:t>
            </w:r>
            <w:proofErr w:type="spellStart"/>
            <w:r>
              <w:rPr>
                <w:rFonts w:ascii="Times New Roman" w:hAnsi="Times New Roman" w:cs="Times New Roman"/>
              </w:rPr>
              <w:t>ust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§ 54 odst. 2 stavebního zákona, </w:t>
            </w:r>
            <w:proofErr w:type="spellStart"/>
            <w:r>
              <w:rPr>
                <w:rFonts w:ascii="Times New Roman" w:hAnsi="Times New Roman" w:cs="Times New Roman"/>
              </w:rPr>
              <w:t>ust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§ 13 a přílohy č. 7 vyhlášky č. 500/2006 Sb., o územně analytických podkladech, územně plánovací dokumentaci a způsobu evidence územně plánovací činnosti, ve znění pozdějších předpisů a v souladu s </w:t>
            </w:r>
            <w:proofErr w:type="spellStart"/>
            <w:r>
              <w:rPr>
                <w:rFonts w:ascii="Times New Roman" w:hAnsi="Times New Roman" w:cs="Times New Roman"/>
              </w:rPr>
              <w:t>ust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§ 171 až § 174 zákona č. 500/2004 Sb., správní řád, ve znění pozdějších předpisů, ÚZEMNÍ PLÁN </w:t>
            </w:r>
            <w:r w:rsidR="00F94704">
              <w:rPr>
                <w:rFonts w:ascii="Times New Roman" w:hAnsi="Times New Roman" w:cs="Times New Roman"/>
              </w:rPr>
              <w:t>LIPINKA</w:t>
            </w:r>
            <w:r>
              <w:rPr>
                <w:rFonts w:ascii="Times New Roman" w:hAnsi="Times New Roman" w:cs="Times New Roman"/>
              </w:rPr>
              <w:t xml:space="preserve"> opatřením obecné povahy, které je přílohou tohoto usnesení.</w:t>
            </w:r>
          </w:p>
        </w:tc>
      </w:tr>
    </w:tbl>
    <w:p w14:paraId="170F8BD6" w14:textId="77777777" w:rsidR="00BA0C75" w:rsidRDefault="00BA0C75" w:rsidP="00B7359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327"/>
      </w:tblGrid>
      <w:tr w:rsidR="00BA0C75" w14:paraId="099CF981" w14:textId="77777777" w:rsidTr="00585A4F">
        <w:tc>
          <w:tcPr>
            <w:tcW w:w="959" w:type="dxa"/>
          </w:tcPr>
          <w:p w14:paraId="4A7443C5" w14:textId="77777777" w:rsidR="00BA0C75" w:rsidRDefault="00BA0C75" w:rsidP="00585A4F">
            <w:pPr>
              <w:spacing w:after="240"/>
            </w:pPr>
            <w:r>
              <w:t>4.</w:t>
            </w:r>
          </w:p>
        </w:tc>
        <w:tc>
          <w:tcPr>
            <w:tcW w:w="8327" w:type="dxa"/>
          </w:tcPr>
          <w:p w14:paraId="6958AACA" w14:textId="77777777" w:rsidR="00BA0C75" w:rsidRDefault="00BA0C75" w:rsidP="00585A4F">
            <w:pPr>
              <w:spacing w:after="240"/>
              <w:rPr>
                <w:spacing w:val="60"/>
              </w:rPr>
            </w:pPr>
            <w:r>
              <w:rPr>
                <w:spacing w:val="60"/>
              </w:rPr>
              <w:t>rozhoduje</w:t>
            </w:r>
          </w:p>
        </w:tc>
      </w:tr>
      <w:tr w:rsidR="00BA0C75" w14:paraId="10C2AB6A" w14:textId="77777777" w:rsidTr="00585A4F">
        <w:tc>
          <w:tcPr>
            <w:tcW w:w="959" w:type="dxa"/>
          </w:tcPr>
          <w:p w14:paraId="661C6F7A" w14:textId="77777777" w:rsidR="00BA0C75" w:rsidRDefault="00BA0C75" w:rsidP="00585A4F"/>
        </w:tc>
        <w:tc>
          <w:tcPr>
            <w:tcW w:w="8327" w:type="dxa"/>
          </w:tcPr>
          <w:p w14:paraId="6BED7C33" w14:textId="77777777" w:rsidR="00BA0C75" w:rsidRPr="00BA0C75" w:rsidRDefault="00BA0C75" w:rsidP="00BA0C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námitkách dle návrhu, který je přílohou tohoto usnesení a schvaluje způsob vyhodnocení připomínek.</w:t>
            </w:r>
          </w:p>
        </w:tc>
      </w:tr>
    </w:tbl>
    <w:p w14:paraId="1736B0CA" w14:textId="77777777" w:rsidR="00BA0C75" w:rsidRDefault="00BA0C75" w:rsidP="00B7359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327"/>
      </w:tblGrid>
      <w:tr w:rsidR="00BA0C75" w14:paraId="4AA6192B" w14:textId="77777777" w:rsidTr="00585A4F">
        <w:tc>
          <w:tcPr>
            <w:tcW w:w="959" w:type="dxa"/>
          </w:tcPr>
          <w:p w14:paraId="28290076" w14:textId="77777777" w:rsidR="00BA0C75" w:rsidRDefault="00BA0C75" w:rsidP="00585A4F">
            <w:pPr>
              <w:spacing w:after="240"/>
            </w:pPr>
            <w:r>
              <w:t>5.</w:t>
            </w:r>
          </w:p>
        </w:tc>
        <w:tc>
          <w:tcPr>
            <w:tcW w:w="8327" w:type="dxa"/>
          </w:tcPr>
          <w:p w14:paraId="480388DB" w14:textId="77777777" w:rsidR="00BA0C75" w:rsidRDefault="00BA0C75" w:rsidP="00585A4F">
            <w:pPr>
              <w:spacing w:after="240"/>
              <w:rPr>
                <w:spacing w:val="60"/>
              </w:rPr>
            </w:pPr>
            <w:r>
              <w:rPr>
                <w:spacing w:val="60"/>
              </w:rPr>
              <w:t>schvaluje</w:t>
            </w:r>
          </w:p>
        </w:tc>
      </w:tr>
      <w:tr w:rsidR="00BA0C75" w14:paraId="4D996C34" w14:textId="77777777" w:rsidTr="00585A4F">
        <w:tc>
          <w:tcPr>
            <w:tcW w:w="959" w:type="dxa"/>
          </w:tcPr>
          <w:p w14:paraId="612057C4" w14:textId="77777777" w:rsidR="00BA0C75" w:rsidRDefault="00BA0C75" w:rsidP="00585A4F"/>
        </w:tc>
        <w:tc>
          <w:tcPr>
            <w:tcW w:w="8327" w:type="dxa"/>
          </w:tcPr>
          <w:p w14:paraId="30D3EF8B" w14:textId="7091BFA5" w:rsidR="00BA0C75" w:rsidRPr="00BA0C75" w:rsidRDefault="00BA0C75" w:rsidP="00BA0C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ukončení platnosti Územního plánu </w:t>
            </w:r>
            <w:r w:rsidR="00F94704">
              <w:rPr>
                <w:rFonts w:ascii="Times New Roman" w:hAnsi="Times New Roman" w:cs="Times New Roman"/>
              </w:rPr>
              <w:t>obce Lipinka</w:t>
            </w:r>
            <w:r w:rsidR="00100CFA">
              <w:rPr>
                <w:rFonts w:ascii="Times New Roman" w:hAnsi="Times New Roman" w:cs="Times New Roman"/>
              </w:rPr>
              <w:t xml:space="preserve">, který byl vydán </w:t>
            </w:r>
            <w:r w:rsidR="00DF083A">
              <w:rPr>
                <w:rFonts w:ascii="Times New Roman" w:hAnsi="Times New Roman" w:cs="Times New Roman"/>
              </w:rPr>
              <w:t xml:space="preserve">zastupitelstvem obce Lipinka dne </w:t>
            </w:r>
            <w:proofErr w:type="gramStart"/>
            <w:r w:rsidR="005854C3">
              <w:rPr>
                <w:rFonts w:ascii="Times New Roman" w:hAnsi="Times New Roman" w:cs="Times New Roman"/>
              </w:rPr>
              <w:t>8.9.2010</w:t>
            </w:r>
            <w:proofErr w:type="gramEnd"/>
            <w:r w:rsidR="005854C3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11D8F663" w14:textId="77777777" w:rsidR="00BA0C75" w:rsidRPr="006645DB" w:rsidRDefault="00BA0C75" w:rsidP="00B7359A"/>
    <w:sectPr w:rsidR="00BA0C75" w:rsidRPr="006645DB" w:rsidSect="009D6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E01E8" w14:textId="77777777" w:rsidR="001F27C6" w:rsidRDefault="001F27C6">
      <w:r>
        <w:separator/>
      </w:r>
    </w:p>
    <w:p w14:paraId="4AFC0529" w14:textId="77777777" w:rsidR="001F27C6" w:rsidRDefault="001F27C6"/>
  </w:endnote>
  <w:endnote w:type="continuationSeparator" w:id="0">
    <w:p w14:paraId="6E0F088F" w14:textId="77777777" w:rsidR="001F27C6" w:rsidRDefault="001F27C6">
      <w:r>
        <w:continuationSeparator/>
      </w:r>
    </w:p>
    <w:p w14:paraId="51C85660" w14:textId="77777777" w:rsidR="001F27C6" w:rsidRDefault="001F2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3CCF5" w14:textId="77777777" w:rsidR="00980DA0" w:rsidRDefault="00980D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FAB828" w14:textId="77777777" w:rsidR="00980DA0" w:rsidRDefault="00980DA0">
    <w:pPr>
      <w:pStyle w:val="Zpat"/>
    </w:pPr>
  </w:p>
  <w:p w14:paraId="1177B89E" w14:textId="77777777" w:rsidR="00980DA0" w:rsidRDefault="00980D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6AA70" w14:textId="77777777" w:rsidR="00C32429" w:rsidRDefault="00357724" w:rsidP="0039685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A055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8E262" w14:textId="77777777" w:rsidR="00357724" w:rsidRDefault="00357724" w:rsidP="0035772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A055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C9CBA" w14:textId="77777777" w:rsidR="001F27C6" w:rsidRDefault="001F27C6">
      <w:r>
        <w:separator/>
      </w:r>
    </w:p>
    <w:p w14:paraId="6D753DC5" w14:textId="77777777" w:rsidR="001F27C6" w:rsidRDefault="001F27C6"/>
  </w:footnote>
  <w:footnote w:type="continuationSeparator" w:id="0">
    <w:p w14:paraId="49B5E13B" w14:textId="77777777" w:rsidR="001F27C6" w:rsidRDefault="001F27C6">
      <w:r>
        <w:continuationSeparator/>
      </w:r>
    </w:p>
    <w:p w14:paraId="618E6342" w14:textId="77777777" w:rsidR="001F27C6" w:rsidRDefault="001F27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345D" w14:textId="77777777" w:rsidR="004D6B8C" w:rsidRDefault="004D6B8C">
    <w:pPr>
      <w:pStyle w:val="Zhlav"/>
    </w:pPr>
  </w:p>
  <w:p w14:paraId="02379520" w14:textId="77777777" w:rsidR="00F91160" w:rsidRDefault="00F911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BD40" w14:textId="77777777" w:rsidR="00980DA0" w:rsidRDefault="00980DA0">
    <w:pPr>
      <w:pStyle w:val="Zhlav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E0FDA" w14:textId="77777777" w:rsidR="009D6997" w:rsidRPr="00396855" w:rsidRDefault="009D6997" w:rsidP="00396855">
    <w:pPr>
      <w:pStyle w:val="Zhlav"/>
      <w:tabs>
        <w:tab w:val="clear" w:pos="4536"/>
        <w:tab w:val="clear" w:pos="9072"/>
        <w:tab w:val="left" w:pos="76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68DF"/>
    <w:multiLevelType w:val="hybridMultilevel"/>
    <w:tmpl w:val="01546E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50F81"/>
    <w:multiLevelType w:val="hybridMultilevel"/>
    <w:tmpl w:val="D180CC16"/>
    <w:lvl w:ilvl="0" w:tplc="75DE6614">
      <w:start w:val="1"/>
      <w:numFmt w:val="upperLetter"/>
      <w:pStyle w:val="BulletTex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2307B"/>
    <w:multiLevelType w:val="multilevel"/>
    <w:tmpl w:val="4A96CD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9D04EBB"/>
    <w:multiLevelType w:val="hybridMultilevel"/>
    <w:tmpl w:val="FA6E11DA"/>
    <w:lvl w:ilvl="0" w:tplc="7FAEAF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75"/>
    <w:rsid w:val="00003BE4"/>
    <w:rsid w:val="00005469"/>
    <w:rsid w:val="0003068B"/>
    <w:rsid w:val="00075D57"/>
    <w:rsid w:val="00093365"/>
    <w:rsid w:val="00094BB9"/>
    <w:rsid w:val="000A00E1"/>
    <w:rsid w:val="000C303A"/>
    <w:rsid w:val="000D7B2B"/>
    <w:rsid w:val="00100CFA"/>
    <w:rsid w:val="00114C5D"/>
    <w:rsid w:val="00122043"/>
    <w:rsid w:val="0013695F"/>
    <w:rsid w:val="001379BB"/>
    <w:rsid w:val="00152E1E"/>
    <w:rsid w:val="001D31C0"/>
    <w:rsid w:val="001D6E63"/>
    <w:rsid w:val="001E0146"/>
    <w:rsid w:val="001F18AC"/>
    <w:rsid w:val="001F27C6"/>
    <w:rsid w:val="001F387E"/>
    <w:rsid w:val="002553A1"/>
    <w:rsid w:val="002675DE"/>
    <w:rsid w:val="002A7761"/>
    <w:rsid w:val="002D5AFE"/>
    <w:rsid w:val="002F6C19"/>
    <w:rsid w:val="00317933"/>
    <w:rsid w:val="00352F6C"/>
    <w:rsid w:val="00357724"/>
    <w:rsid w:val="003766CC"/>
    <w:rsid w:val="00391D0D"/>
    <w:rsid w:val="00396855"/>
    <w:rsid w:val="003B50D8"/>
    <w:rsid w:val="003C094E"/>
    <w:rsid w:val="003D1D3A"/>
    <w:rsid w:val="003D2B93"/>
    <w:rsid w:val="003D4009"/>
    <w:rsid w:val="003D4CDA"/>
    <w:rsid w:val="003E2230"/>
    <w:rsid w:val="003F4CC6"/>
    <w:rsid w:val="00411F3D"/>
    <w:rsid w:val="004438D5"/>
    <w:rsid w:val="00446A3C"/>
    <w:rsid w:val="0045013B"/>
    <w:rsid w:val="004C6F96"/>
    <w:rsid w:val="004D1929"/>
    <w:rsid w:val="004D6B8C"/>
    <w:rsid w:val="004D78CC"/>
    <w:rsid w:val="004F194E"/>
    <w:rsid w:val="004F20EF"/>
    <w:rsid w:val="00501E9B"/>
    <w:rsid w:val="00536843"/>
    <w:rsid w:val="00537C4C"/>
    <w:rsid w:val="00537CBE"/>
    <w:rsid w:val="0055485F"/>
    <w:rsid w:val="005838D6"/>
    <w:rsid w:val="005854C3"/>
    <w:rsid w:val="00594E80"/>
    <w:rsid w:val="005C1119"/>
    <w:rsid w:val="005C4F25"/>
    <w:rsid w:val="005D27BF"/>
    <w:rsid w:val="005D6A8D"/>
    <w:rsid w:val="006105A8"/>
    <w:rsid w:val="00612E48"/>
    <w:rsid w:val="00623923"/>
    <w:rsid w:val="00646692"/>
    <w:rsid w:val="006575CF"/>
    <w:rsid w:val="006645DB"/>
    <w:rsid w:val="006832A1"/>
    <w:rsid w:val="006909A0"/>
    <w:rsid w:val="006C6AC7"/>
    <w:rsid w:val="006E7655"/>
    <w:rsid w:val="00744FD8"/>
    <w:rsid w:val="00747B20"/>
    <w:rsid w:val="00754884"/>
    <w:rsid w:val="007766B4"/>
    <w:rsid w:val="00782BFA"/>
    <w:rsid w:val="00795C67"/>
    <w:rsid w:val="007B5105"/>
    <w:rsid w:val="00807058"/>
    <w:rsid w:val="008476DF"/>
    <w:rsid w:val="008555F3"/>
    <w:rsid w:val="00864731"/>
    <w:rsid w:val="008A16BB"/>
    <w:rsid w:val="008A4BF1"/>
    <w:rsid w:val="008C3026"/>
    <w:rsid w:val="008F52C6"/>
    <w:rsid w:val="00914967"/>
    <w:rsid w:val="00980DA0"/>
    <w:rsid w:val="009D6997"/>
    <w:rsid w:val="00A51DA9"/>
    <w:rsid w:val="00A74649"/>
    <w:rsid w:val="00A82F61"/>
    <w:rsid w:val="00AA3C30"/>
    <w:rsid w:val="00B05EF1"/>
    <w:rsid w:val="00B26267"/>
    <w:rsid w:val="00B35609"/>
    <w:rsid w:val="00B44B29"/>
    <w:rsid w:val="00B7359A"/>
    <w:rsid w:val="00BA0C75"/>
    <w:rsid w:val="00BA42E3"/>
    <w:rsid w:val="00BA5762"/>
    <w:rsid w:val="00BD14D9"/>
    <w:rsid w:val="00BD2AC2"/>
    <w:rsid w:val="00C006CF"/>
    <w:rsid w:val="00C32429"/>
    <w:rsid w:val="00CB07EF"/>
    <w:rsid w:val="00CB481A"/>
    <w:rsid w:val="00CC360A"/>
    <w:rsid w:val="00CD0734"/>
    <w:rsid w:val="00CE5514"/>
    <w:rsid w:val="00D00216"/>
    <w:rsid w:val="00D15D1B"/>
    <w:rsid w:val="00D16723"/>
    <w:rsid w:val="00D42EA6"/>
    <w:rsid w:val="00D531AD"/>
    <w:rsid w:val="00D61DBB"/>
    <w:rsid w:val="00D747E1"/>
    <w:rsid w:val="00DA0428"/>
    <w:rsid w:val="00DA0553"/>
    <w:rsid w:val="00DA6826"/>
    <w:rsid w:val="00DC691D"/>
    <w:rsid w:val="00DD54BA"/>
    <w:rsid w:val="00DF083A"/>
    <w:rsid w:val="00E04910"/>
    <w:rsid w:val="00E1220A"/>
    <w:rsid w:val="00E310A9"/>
    <w:rsid w:val="00E42D32"/>
    <w:rsid w:val="00E4676E"/>
    <w:rsid w:val="00E53561"/>
    <w:rsid w:val="00E54935"/>
    <w:rsid w:val="00E74FBC"/>
    <w:rsid w:val="00EB175E"/>
    <w:rsid w:val="00EC2351"/>
    <w:rsid w:val="00ED10F7"/>
    <w:rsid w:val="00EE0CC4"/>
    <w:rsid w:val="00EE6B79"/>
    <w:rsid w:val="00EF734A"/>
    <w:rsid w:val="00F0283E"/>
    <w:rsid w:val="00F107BD"/>
    <w:rsid w:val="00F1490F"/>
    <w:rsid w:val="00F208FC"/>
    <w:rsid w:val="00F27A00"/>
    <w:rsid w:val="00F91160"/>
    <w:rsid w:val="00F94704"/>
    <w:rsid w:val="00FC57AE"/>
    <w:rsid w:val="00FC730B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35062"/>
  <w15:chartTrackingRefBased/>
  <w15:docId w15:val="{7F383731-7E51-4151-8B21-E585584A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AC2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FF0000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ind w:left="360"/>
      <w:jc w:val="both"/>
      <w:outlineLvl w:val="2"/>
    </w:pPr>
  </w:style>
  <w:style w:type="paragraph" w:styleId="Nadpis4">
    <w:name w:val="heading 4"/>
    <w:basedOn w:val="Normln"/>
    <w:next w:val="Normln"/>
    <w:qFormat/>
    <w:pPr>
      <w:keepNext/>
      <w:tabs>
        <w:tab w:val="center" w:pos="6237"/>
      </w:tabs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283"/>
      <w:jc w:val="both"/>
    </w:pPr>
    <w:rPr>
      <w:b/>
    </w:rPr>
  </w:style>
  <w:style w:type="paragraph" w:styleId="Zkladntext3">
    <w:name w:val="Body Text 3"/>
    <w:basedOn w:val="Normln"/>
    <w:pPr>
      <w:jc w:val="both"/>
    </w:pPr>
  </w:style>
  <w:style w:type="paragraph" w:styleId="Zkladntextodsazen2">
    <w:name w:val="Body Text Indent 2"/>
    <w:basedOn w:val="Normln"/>
    <w:pPr>
      <w:ind w:firstLine="708"/>
      <w:jc w:val="both"/>
    </w:pPr>
  </w:style>
  <w:style w:type="character" w:styleId="slostrnky">
    <w:name w:val="page number"/>
    <w:basedOn w:val="Standardnpsmoodstavce"/>
  </w:style>
  <w:style w:type="paragraph" w:customStyle="1" w:styleId="BulletText">
    <w:name w:val="Bullet Text"/>
    <w:basedOn w:val="Normln"/>
    <w:rsid w:val="00E42D32"/>
    <w:pPr>
      <w:numPr>
        <w:numId w:val="1"/>
      </w:numPr>
      <w:spacing w:before="240"/>
      <w:jc w:val="both"/>
    </w:pPr>
    <w:rPr>
      <w:rFonts w:ascii="Arial" w:eastAsia="MS Mincho" w:hAnsi="Arial"/>
      <w:spacing w:val="10"/>
      <w:szCs w:val="24"/>
      <w:lang w:eastAsia="en-US"/>
    </w:rPr>
  </w:style>
  <w:style w:type="paragraph" w:customStyle="1" w:styleId="Rozvrendokumentu">
    <w:name w:val="Rozvržení dokumentu"/>
    <w:basedOn w:val="Normln"/>
    <w:semiHidden/>
    <w:rsid w:val="004D1929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rsid w:val="003C094E"/>
    <w:rPr>
      <w:lang w:val="cs-CZ" w:eastAsia="cs-CZ" w:bidi="ar-SA"/>
    </w:rPr>
  </w:style>
  <w:style w:type="table" w:styleId="Mkatabulky">
    <w:name w:val="Table Grid"/>
    <w:basedOn w:val="Normlntabulka"/>
    <w:rsid w:val="0000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Normlntabulka"/>
    <w:rsid w:val="00005469"/>
    <w:rPr>
      <w:sz w:val="24"/>
    </w:rPr>
    <w:tblPr/>
  </w:style>
  <w:style w:type="table" w:customStyle="1" w:styleId="TABULKADZ">
    <w:name w:val="TABULKA_DZ"/>
    <w:basedOn w:val="Normlntabulka"/>
    <w:rsid w:val="00CE5514"/>
    <w:pPr>
      <w:spacing w:before="60"/>
      <w:jc w:val="both"/>
    </w:pPr>
    <w:rPr>
      <w:sz w:val="24"/>
    </w:rPr>
    <w:tblPr>
      <w:tblInd w:w="369" w:type="dxa"/>
    </w:tblPr>
  </w:style>
  <w:style w:type="table" w:customStyle="1" w:styleId="TABULKAFORMULACE">
    <w:name w:val="TABULKA_FORMULACE"/>
    <w:basedOn w:val="Normlntabulka"/>
    <w:rsid w:val="00CE5514"/>
    <w:pPr>
      <w:spacing w:before="60"/>
      <w:jc w:val="both"/>
    </w:pPr>
    <w:rPr>
      <w:sz w:val="24"/>
    </w:rPr>
    <w:tblPr>
      <w:tblInd w:w="3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character" w:customStyle="1" w:styleId="Nadpis3Char">
    <w:name w:val="Nadpis 3 Char"/>
    <w:link w:val="Nadpis3"/>
    <w:rsid w:val="00537C4C"/>
    <w:rPr>
      <w:sz w:val="24"/>
    </w:rPr>
  </w:style>
  <w:style w:type="paragraph" w:customStyle="1" w:styleId="Normal">
    <w:name w:val="[Normal]"/>
    <w:rsid w:val="00BA0C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MUVM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Urbášková R. (Ing.)</dc:creator>
  <cp:keywords/>
  <cp:lastModifiedBy>Ucitel</cp:lastModifiedBy>
  <cp:revision>2</cp:revision>
  <cp:lastPrinted>2010-02-16T13:10:00Z</cp:lastPrinted>
  <dcterms:created xsi:type="dcterms:W3CDTF">2024-03-13T05:39:00Z</dcterms:created>
  <dcterms:modified xsi:type="dcterms:W3CDTF">2024-03-13T05:39:00Z</dcterms:modified>
</cp:coreProperties>
</file>